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B8487" w14:textId="77777777" w:rsidR="007F2D56" w:rsidRPr="007F2D56" w:rsidRDefault="00287549" w:rsidP="007F2D56">
      <w:pPr>
        <w:jc w:val="center"/>
        <w:rPr>
          <w:rFonts w:ascii="Arial" w:hAnsi="Arial" w:cs="Arial"/>
          <w:b/>
          <w:sz w:val="28"/>
          <w:szCs w:val="28"/>
        </w:rPr>
      </w:pPr>
      <w:r>
        <w:rPr>
          <w:rFonts w:ascii="Arial" w:hAnsi="Arial" w:cs="Arial"/>
          <w:b/>
          <w:sz w:val="28"/>
          <w:szCs w:val="28"/>
        </w:rPr>
        <w:t xml:space="preserve">Übersicht: </w:t>
      </w:r>
      <w:r w:rsidR="007F2D56" w:rsidRPr="007F2D56">
        <w:rPr>
          <w:rFonts w:ascii="Arial" w:hAnsi="Arial" w:cs="Arial"/>
          <w:b/>
          <w:sz w:val="28"/>
          <w:szCs w:val="28"/>
        </w:rPr>
        <w:t>Wahlberechtigung</w:t>
      </w:r>
    </w:p>
    <w:p w14:paraId="7C18238E" w14:textId="77777777" w:rsidR="007F2D56" w:rsidRDefault="007F2D56">
      <w:pPr>
        <w:rPr>
          <w:rFonts w:ascii="Arial" w:hAnsi="Arial" w:cs="Arial"/>
          <w:sz w:val="22"/>
          <w:szCs w:val="22"/>
        </w:rPr>
      </w:pPr>
    </w:p>
    <w:p w14:paraId="4518E9CF" w14:textId="77777777" w:rsidR="007F2D56" w:rsidRDefault="007F2D56">
      <w:pPr>
        <w:rPr>
          <w:rFonts w:ascii="Arial" w:hAnsi="Arial" w:cs="Arial"/>
          <w:sz w:val="22"/>
          <w:szCs w:val="22"/>
        </w:rPr>
      </w:pPr>
      <w:r w:rsidRPr="007F2D56">
        <w:rPr>
          <w:rFonts w:ascii="Arial" w:hAnsi="Arial" w:cs="Arial"/>
          <w:sz w:val="22"/>
          <w:szCs w:val="22"/>
        </w:rPr>
        <w:t>Die vorliegende Entscheidung des Bundesarbeitsgerichts zeigt, wie wichtig es für den Wahlvorstand ist zu wissen, welche Gruppe von Beschäftigten im Betrieb wahlberechtigt ist und welche nicht. Hiervon kann im Einzelfall die Anfechtbarkeit der Wahl abhängen.</w:t>
      </w:r>
    </w:p>
    <w:p w14:paraId="67CE8157" w14:textId="77777777" w:rsidR="007F2D56" w:rsidRDefault="007F2D56">
      <w:pPr>
        <w:rPr>
          <w:rFonts w:ascii="Arial" w:hAnsi="Arial" w:cs="Arial"/>
          <w:sz w:val="22"/>
          <w:szCs w:val="22"/>
        </w:rPr>
      </w:pPr>
    </w:p>
    <w:p w14:paraId="7844C9F5" w14:textId="77777777" w:rsidR="007F2D56" w:rsidRDefault="007F2D56">
      <w:pPr>
        <w:rPr>
          <w:rFonts w:ascii="Arial" w:hAnsi="Arial" w:cs="Arial"/>
          <w:sz w:val="22"/>
          <w:szCs w:val="22"/>
        </w:rPr>
      </w:pPr>
      <w:r w:rsidRPr="007F2D56">
        <w:rPr>
          <w:rFonts w:ascii="Arial" w:hAnsi="Arial" w:cs="Arial"/>
          <w:sz w:val="22"/>
          <w:szCs w:val="22"/>
        </w:rPr>
        <w:t>Arbeitnehmer und damit wahlberechtigt sind:</w:t>
      </w:r>
    </w:p>
    <w:p w14:paraId="0204B6AA" w14:textId="77777777" w:rsidR="007F2D56" w:rsidRDefault="007F2D56" w:rsidP="007F2D56">
      <w:pPr>
        <w:numPr>
          <w:ilvl w:val="0"/>
          <w:numId w:val="1"/>
        </w:numPr>
        <w:rPr>
          <w:rFonts w:ascii="Arial" w:hAnsi="Arial" w:cs="Arial"/>
          <w:sz w:val="22"/>
          <w:szCs w:val="22"/>
        </w:rPr>
      </w:pPr>
      <w:r w:rsidRPr="007F2D56">
        <w:rPr>
          <w:rFonts w:ascii="Arial" w:hAnsi="Arial" w:cs="Arial"/>
          <w:sz w:val="22"/>
          <w:szCs w:val="22"/>
        </w:rPr>
        <w:t>zunächst alle Arbeitnehmer, die durch einen Arbeitsvertrag mit dem Betriebsinhaber verbunden und 18 Jahre oder älter sind</w:t>
      </w:r>
    </w:p>
    <w:p w14:paraId="09E05893" w14:textId="77777777" w:rsidR="007F2D56" w:rsidRDefault="007F2D56" w:rsidP="007F2D56">
      <w:pPr>
        <w:numPr>
          <w:ilvl w:val="0"/>
          <w:numId w:val="1"/>
        </w:numPr>
        <w:rPr>
          <w:rFonts w:ascii="Arial" w:hAnsi="Arial" w:cs="Arial"/>
          <w:sz w:val="22"/>
          <w:szCs w:val="22"/>
        </w:rPr>
      </w:pPr>
      <w:r w:rsidRPr="007F2D56">
        <w:rPr>
          <w:rFonts w:ascii="Arial" w:hAnsi="Arial" w:cs="Arial"/>
          <w:sz w:val="22"/>
          <w:szCs w:val="22"/>
        </w:rPr>
        <w:t>Beschäftigte in Beschäftigungs- und Qualifizierungsgesellschaften</w:t>
      </w:r>
    </w:p>
    <w:p w14:paraId="7EB2B773" w14:textId="77777777" w:rsidR="007F2D56" w:rsidRDefault="007F2D56" w:rsidP="007F2D56">
      <w:pPr>
        <w:numPr>
          <w:ilvl w:val="0"/>
          <w:numId w:val="1"/>
        </w:numPr>
        <w:rPr>
          <w:rFonts w:ascii="Arial" w:hAnsi="Arial" w:cs="Arial"/>
          <w:sz w:val="22"/>
          <w:szCs w:val="22"/>
        </w:rPr>
      </w:pPr>
      <w:r w:rsidRPr="007F2D56">
        <w:rPr>
          <w:rFonts w:ascii="Arial" w:hAnsi="Arial" w:cs="Arial"/>
          <w:sz w:val="22"/>
          <w:szCs w:val="22"/>
        </w:rPr>
        <w:t>Sozialhilfeempfänger, wenn sie nach § 19 BSHG beschäftigt werden</w:t>
      </w:r>
    </w:p>
    <w:p w14:paraId="2934A284" w14:textId="77777777" w:rsidR="007F2D56" w:rsidRDefault="007F2D56" w:rsidP="007F2D56">
      <w:pPr>
        <w:numPr>
          <w:ilvl w:val="0"/>
          <w:numId w:val="1"/>
        </w:numPr>
        <w:rPr>
          <w:rFonts w:ascii="Arial" w:hAnsi="Arial" w:cs="Arial"/>
          <w:sz w:val="22"/>
          <w:szCs w:val="22"/>
        </w:rPr>
      </w:pPr>
      <w:r w:rsidRPr="007F2D56">
        <w:rPr>
          <w:rFonts w:ascii="Arial" w:hAnsi="Arial" w:cs="Arial"/>
          <w:sz w:val="22"/>
          <w:szCs w:val="22"/>
        </w:rPr>
        <w:t>die zur Berufsausbildung Beschäftigten, es sei denn, sie werden in reinen Ausbildungsbetrieben beschäftigt (siehe oben) oder sie erbringen ihre Ausbildung in mehreren Betrieben gleichzeitig, ohne dass ein bestimmter Schwerpunkt einem Betrieb zuzuordnen ist</w:t>
      </w:r>
    </w:p>
    <w:p w14:paraId="634B744C" w14:textId="77777777" w:rsidR="007F2D56" w:rsidRDefault="007F2D56" w:rsidP="007F2D56">
      <w:pPr>
        <w:numPr>
          <w:ilvl w:val="0"/>
          <w:numId w:val="1"/>
        </w:numPr>
        <w:rPr>
          <w:rFonts w:ascii="Arial" w:hAnsi="Arial" w:cs="Arial"/>
          <w:sz w:val="22"/>
          <w:szCs w:val="22"/>
        </w:rPr>
      </w:pPr>
      <w:r w:rsidRPr="007F2D56">
        <w:rPr>
          <w:rFonts w:ascii="Arial" w:hAnsi="Arial" w:cs="Arial"/>
          <w:sz w:val="22"/>
          <w:szCs w:val="22"/>
        </w:rPr>
        <w:t>in Heimarbeit Beschäftigte, die in der Hauptsache für den Betrieb arbeiten</w:t>
      </w:r>
    </w:p>
    <w:p w14:paraId="60B97959" w14:textId="77777777" w:rsidR="007F2D56" w:rsidRDefault="007F2D56" w:rsidP="007F2D56">
      <w:pPr>
        <w:rPr>
          <w:rFonts w:ascii="Arial" w:hAnsi="Arial" w:cs="Arial"/>
          <w:sz w:val="22"/>
          <w:szCs w:val="22"/>
        </w:rPr>
      </w:pPr>
    </w:p>
    <w:p w14:paraId="46714132" w14:textId="77777777" w:rsidR="007F2D56" w:rsidRDefault="007F2D56" w:rsidP="007F2D56">
      <w:pPr>
        <w:rPr>
          <w:rFonts w:ascii="Arial" w:hAnsi="Arial" w:cs="Arial"/>
          <w:sz w:val="22"/>
          <w:szCs w:val="22"/>
        </w:rPr>
      </w:pPr>
      <w:r w:rsidRPr="007F2D56">
        <w:rPr>
          <w:rFonts w:ascii="Arial" w:hAnsi="Arial" w:cs="Arial"/>
          <w:sz w:val="22"/>
          <w:szCs w:val="22"/>
        </w:rPr>
        <w:t>Keine Arbeitnehmer und damit nicht wahlberechtigt sind:</w:t>
      </w:r>
    </w:p>
    <w:p w14:paraId="01DEEA4B" w14:textId="77777777" w:rsidR="007F2D56" w:rsidRDefault="007F2D56" w:rsidP="007F2D56">
      <w:pPr>
        <w:numPr>
          <w:ilvl w:val="0"/>
          <w:numId w:val="2"/>
        </w:numPr>
        <w:rPr>
          <w:rFonts w:ascii="Arial" w:hAnsi="Arial" w:cs="Arial"/>
          <w:sz w:val="22"/>
          <w:szCs w:val="22"/>
        </w:rPr>
      </w:pPr>
      <w:r w:rsidRPr="007F2D56">
        <w:rPr>
          <w:rFonts w:ascii="Arial" w:hAnsi="Arial" w:cs="Arial"/>
          <w:sz w:val="22"/>
          <w:szCs w:val="22"/>
        </w:rPr>
        <w:t>die in § 5 Abs. 2 und 3 BetrVG genannten Personen</w:t>
      </w:r>
    </w:p>
    <w:p w14:paraId="5FCEEB87" w14:textId="77777777" w:rsidR="007F2D56" w:rsidRDefault="007F2D56" w:rsidP="007F2D56">
      <w:pPr>
        <w:numPr>
          <w:ilvl w:val="0"/>
          <w:numId w:val="2"/>
        </w:numPr>
        <w:rPr>
          <w:rFonts w:ascii="Arial" w:hAnsi="Arial" w:cs="Arial"/>
          <w:sz w:val="22"/>
          <w:szCs w:val="22"/>
        </w:rPr>
      </w:pPr>
      <w:r w:rsidRPr="007F2D56">
        <w:rPr>
          <w:rFonts w:ascii="Arial" w:hAnsi="Arial" w:cs="Arial"/>
          <w:sz w:val="22"/>
          <w:szCs w:val="22"/>
        </w:rPr>
        <w:t>die in Privatbetrieben tätigen Beamten</w:t>
      </w:r>
    </w:p>
    <w:p w14:paraId="202E814C" w14:textId="77777777" w:rsidR="007F2D56" w:rsidRDefault="007F2D56" w:rsidP="007F2D56">
      <w:pPr>
        <w:numPr>
          <w:ilvl w:val="0"/>
          <w:numId w:val="2"/>
        </w:numPr>
        <w:rPr>
          <w:rFonts w:ascii="Arial" w:hAnsi="Arial" w:cs="Arial"/>
          <w:sz w:val="22"/>
          <w:szCs w:val="22"/>
        </w:rPr>
      </w:pPr>
      <w:r w:rsidRPr="007F2D56">
        <w:rPr>
          <w:rFonts w:ascii="Arial" w:hAnsi="Arial" w:cs="Arial"/>
          <w:sz w:val="22"/>
          <w:szCs w:val="22"/>
        </w:rPr>
        <w:t>arbeitnehmerähnliche Personen</w:t>
      </w:r>
    </w:p>
    <w:p w14:paraId="332316A1" w14:textId="77777777" w:rsidR="00703602" w:rsidRPr="007F2D56" w:rsidRDefault="007F2D56" w:rsidP="007F2D56">
      <w:pPr>
        <w:numPr>
          <w:ilvl w:val="0"/>
          <w:numId w:val="2"/>
        </w:numPr>
        <w:rPr>
          <w:rFonts w:ascii="Arial" w:hAnsi="Arial" w:cs="Arial"/>
          <w:sz w:val="22"/>
          <w:szCs w:val="22"/>
        </w:rPr>
      </w:pPr>
      <w:r w:rsidRPr="007F2D56">
        <w:rPr>
          <w:rFonts w:ascii="Arial" w:hAnsi="Arial" w:cs="Arial"/>
          <w:sz w:val="22"/>
          <w:szCs w:val="22"/>
        </w:rPr>
        <w:t>freie Mitarbeiter</w:t>
      </w:r>
    </w:p>
    <w:sectPr w:rsidR="00703602" w:rsidRPr="007F2D56" w:rsidSect="007F2D56">
      <w:footerReference w:type="even" r:id="rId7"/>
      <w:footerReference w:type="default" r:id="rId8"/>
      <w:pgSz w:w="11907" w:h="16840" w:code="9"/>
      <w:pgMar w:top="1134" w:right="1134" w:bottom="1134" w:left="1418" w:header="720"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AFC7BB" w14:textId="77777777" w:rsidR="00270BAB" w:rsidRDefault="00270BAB">
      <w:r>
        <w:separator/>
      </w:r>
    </w:p>
  </w:endnote>
  <w:endnote w:type="continuationSeparator" w:id="0">
    <w:p w14:paraId="4A3686A4" w14:textId="77777777" w:rsidR="00270BAB" w:rsidRDefault="00270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2690F" w14:textId="77777777" w:rsidR="007F2D56" w:rsidRDefault="007F2D56" w:rsidP="00EA3B15">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B154EC6" w14:textId="77777777" w:rsidR="007F2D56" w:rsidRDefault="007F2D56" w:rsidP="007F2D5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816EC" w14:textId="77777777" w:rsidR="007F2D56" w:rsidRPr="007F2D56" w:rsidRDefault="007F2D56" w:rsidP="00EA3B15">
    <w:pPr>
      <w:pStyle w:val="Fuzeile"/>
      <w:framePr w:wrap="around" w:vAnchor="text" w:hAnchor="margin" w:xAlign="right" w:y="1"/>
      <w:rPr>
        <w:rStyle w:val="Seitenzahl"/>
        <w:rFonts w:ascii="Arial" w:hAnsi="Arial" w:cs="Arial"/>
        <w:sz w:val="16"/>
        <w:szCs w:val="16"/>
      </w:rPr>
    </w:pPr>
    <w:r w:rsidRPr="007F2D56">
      <w:rPr>
        <w:rStyle w:val="Seitenzahl"/>
        <w:rFonts w:ascii="Arial" w:hAnsi="Arial" w:cs="Arial"/>
        <w:sz w:val="16"/>
        <w:szCs w:val="16"/>
      </w:rPr>
      <w:fldChar w:fldCharType="begin"/>
    </w:r>
    <w:r w:rsidRPr="007F2D56">
      <w:rPr>
        <w:rStyle w:val="Seitenzahl"/>
        <w:rFonts w:ascii="Arial" w:hAnsi="Arial" w:cs="Arial"/>
        <w:sz w:val="16"/>
        <w:szCs w:val="16"/>
      </w:rPr>
      <w:instrText xml:space="preserve">PAGE  </w:instrText>
    </w:r>
    <w:r w:rsidRPr="007F2D56">
      <w:rPr>
        <w:rStyle w:val="Seitenzahl"/>
        <w:rFonts w:ascii="Arial" w:hAnsi="Arial" w:cs="Arial"/>
        <w:sz w:val="16"/>
        <w:szCs w:val="16"/>
      </w:rPr>
      <w:fldChar w:fldCharType="separate"/>
    </w:r>
    <w:r w:rsidR="00510171">
      <w:rPr>
        <w:rStyle w:val="Seitenzahl"/>
        <w:rFonts w:ascii="Arial" w:hAnsi="Arial" w:cs="Arial"/>
        <w:noProof/>
        <w:sz w:val="16"/>
        <w:szCs w:val="16"/>
      </w:rPr>
      <w:t>1</w:t>
    </w:r>
    <w:r w:rsidRPr="007F2D56">
      <w:rPr>
        <w:rStyle w:val="Seitenzahl"/>
        <w:rFonts w:ascii="Arial" w:hAnsi="Arial" w:cs="Arial"/>
        <w:sz w:val="16"/>
        <w:szCs w:val="16"/>
      </w:rPr>
      <w:fldChar w:fldCharType="end"/>
    </w:r>
  </w:p>
  <w:p w14:paraId="0AD42FA8" w14:textId="4DF90206" w:rsidR="007F2D56" w:rsidRDefault="007F2D56" w:rsidP="007F2D56">
    <w:pPr>
      <w:pStyle w:val="Fuzeile"/>
      <w:ind w:right="360"/>
    </w:pPr>
    <w:r w:rsidRPr="00695E65">
      <w:rPr>
        <w:rFonts w:ascii="Arial" w:hAnsi="Arial" w:cs="Arial"/>
        <w:sz w:val="16"/>
        <w:szCs w:val="16"/>
      </w:rPr>
      <w:t>©</w:t>
    </w:r>
    <w:r>
      <w:rPr>
        <w:rFonts w:ascii="Arial" w:hAnsi="Arial" w:cs="Arial"/>
        <w:sz w:val="16"/>
        <w:szCs w:val="16"/>
      </w:rPr>
      <w:t xml:space="preserve"> </w:t>
    </w:r>
    <w:r w:rsidRPr="00695E65">
      <w:rPr>
        <w:rFonts w:ascii="Arial" w:hAnsi="Arial" w:cs="Arial"/>
        <w:sz w:val="16"/>
        <w:szCs w:val="16"/>
      </w:rPr>
      <w:t>WEKA M</w:t>
    </w:r>
    <w:r w:rsidR="00775131">
      <w:rPr>
        <w:rFonts w:ascii="Arial" w:hAnsi="Arial" w:cs="Arial"/>
        <w:sz w:val="16"/>
        <w:szCs w:val="16"/>
      </w:rPr>
      <w:t>edia</w:t>
    </w:r>
    <w:r w:rsidRPr="00695E65">
      <w:rPr>
        <w:rFonts w:ascii="Arial" w:hAnsi="Arial" w:cs="Arial"/>
        <w:sz w:val="16"/>
        <w:szCs w:val="16"/>
      </w:rPr>
      <w:t xml:space="preserve"> GmbH &amp; Co. KG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70496" w14:textId="77777777" w:rsidR="00270BAB" w:rsidRDefault="00270BAB">
      <w:r>
        <w:separator/>
      </w:r>
    </w:p>
  </w:footnote>
  <w:footnote w:type="continuationSeparator" w:id="0">
    <w:p w14:paraId="7C49114D" w14:textId="77777777" w:rsidR="00270BAB" w:rsidRDefault="00270B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7B1A8A"/>
    <w:multiLevelType w:val="hybridMultilevel"/>
    <w:tmpl w:val="8CFAC42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F5D1668"/>
    <w:multiLevelType w:val="hybridMultilevel"/>
    <w:tmpl w:val="8C6C89F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749692681">
    <w:abstractNumId w:val="1"/>
  </w:num>
  <w:num w:numId="2" w16cid:durableId="21449281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2D56"/>
    <w:rsid w:val="001D382F"/>
    <w:rsid w:val="00270BAB"/>
    <w:rsid w:val="00287549"/>
    <w:rsid w:val="00510171"/>
    <w:rsid w:val="005D1DCC"/>
    <w:rsid w:val="005E6641"/>
    <w:rsid w:val="00703602"/>
    <w:rsid w:val="00775131"/>
    <w:rsid w:val="007F2D56"/>
    <w:rsid w:val="00A13916"/>
    <w:rsid w:val="00E128A9"/>
    <w:rsid w:val="00E37964"/>
    <w:rsid w:val="00EA3B1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5FBA90"/>
  <w15:docId w15:val="{C8C82063-DCA7-4F28-8921-1EC9C35F2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Umschlagabsenderadresse">
    <w:name w:val="envelope return"/>
    <w:basedOn w:val="Standard"/>
    <w:rPr>
      <w:sz w:val="24"/>
    </w:rPr>
  </w:style>
  <w:style w:type="paragraph" w:styleId="NurText">
    <w:name w:val="Plain Text"/>
    <w:basedOn w:val="Standard"/>
    <w:rPr>
      <w:rFonts w:ascii="Courier New" w:hAnsi="Courier New"/>
    </w:rPr>
  </w:style>
  <w:style w:type="paragraph" w:styleId="Fuzeile">
    <w:name w:val="footer"/>
    <w:basedOn w:val="Standard"/>
    <w:rsid w:val="007F2D56"/>
    <w:pPr>
      <w:tabs>
        <w:tab w:val="center" w:pos="4536"/>
        <w:tab w:val="right" w:pos="9072"/>
      </w:tabs>
    </w:pPr>
  </w:style>
  <w:style w:type="character" w:styleId="Seitenzahl">
    <w:name w:val="page number"/>
    <w:basedOn w:val="Absatz-Standardschriftart"/>
    <w:rsid w:val="007F2D56"/>
  </w:style>
  <w:style w:type="paragraph" w:styleId="Kopfzeile">
    <w:name w:val="header"/>
    <w:basedOn w:val="Standard"/>
    <w:rsid w:val="007F2D56"/>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Words>
  <Characters>967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Wahlberechtigung</vt:lpstr>
    </vt:vector>
  </TitlesOfParts>
  <Company>WEKA MEDIA GmbH &amp; Co. KG</Company>
  <LinksUpToDate>false</LinksUpToDate>
  <CharactersWithSpaces>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Silke Rohde</dc:creator>
  <cp:keywords/>
  <dc:description/>
  <cp:lastModifiedBy>Michl, Melanie</cp:lastModifiedBy>
  <cp:revision>3</cp:revision>
  <dcterms:created xsi:type="dcterms:W3CDTF">2025-06-04T07:02:00Z</dcterms:created>
  <dcterms:modified xsi:type="dcterms:W3CDTF">2025-06-04T07:02:00Z</dcterms:modified>
</cp:coreProperties>
</file>